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color w:val="1F3864"/>
          <w:sz w:val="32"/>
          <w:szCs w:val="32"/>
        </w:rPr>
        <w:t xml:space="preserve">MANSOURA ENDOCRINOLOGY ICU</w:t>
      </w:r>
    </w:p>
    <w:p>
      <w:pPr>
        <w:spacing w:after="100"/>
        <w:jc w:val="center"/>
      </w:pPr>
      <w:r>
        <w:rPr>
          <w:b/>
          <w:bCs/>
          <w:color w:val="B8860B"/>
          <w:sz w:val="26"/>
          <w:szCs w:val="26"/>
        </w:rPr>
        <w:t xml:space="preserve">Endocrine Emergency Protocol</w:t>
      </w:r>
    </w:p>
    <w:p>
      <w:pPr>
        <w:spacing w:after="400"/>
        <w:jc w:val="center"/>
      </w:pPr>
      <w:r>
        <w:rPr>
          <w:i/>
          <w:iCs/>
          <w:color w:val="595959"/>
          <w:sz w:val="20"/>
          <w:szCs w:val="20"/>
        </w:rPr>
        <w:t xml:space="preserve">FULL 12-CONDITION BUILD — for Prof. Megahed's review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1. Diabetic Ketoacidosis (DKA)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Biochemical criteria: </w:t>
      </w:r>
      <w:r>
        <w:t xml:space="preserve">Per the 2024 ADA/EASD/JBDS/AACE/DTS joint consensus report (reaffirmed in the ADA Standards of Care in Diabetes—2026 hospital chapter): plasma glucose ≥200 mg/dL (11.1 mmol/L) OR a documented history of diabetes irrespective of glucose value — this latter clause was added specifically to capture euglycemic DKA.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Ketosis: </w:t>
      </w:r>
      <w:r>
        <w:t xml:space="preserve">Elevated total ketone body concentration; point-of-care blood beta-hydroxybutyrate (≥3.0 mmol/L) is now the preferred marker over urine ketones, reflecting the physiologic rise in the beta-hydroxybutyrate:acetoacetate ratio from 1:1 to as high as 10:1 in DKA.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Acidosis: </w:t>
      </w:r>
      <w:r>
        <w:t xml:space="preserve">Venous pH &lt;7.3 and/or serum bicarbonate &lt;18 mEq/L.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Euglycemic DKA: </w:t>
      </w:r>
      <w:r>
        <w:t xml:space="preserve">Accounts for roughly 10% of DKA presentations; associated with SGLT2 inhibitor use, pregnancy, reduced caloric intake, or impaired gluconeogenesis. Do not exclude DKA on a normal glucose alone.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Severity stratification: </w:t>
      </w:r>
      <w:r>
        <w:t xml:space="preserve">Mild, moderate, or severe based on the degree of acidosis and mental status; severity determines disposition.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2024 joint consensus report (ADA/EASD/JBDS/AACE/DTS), reaffirmed in the 2026 Standards of Care hospital chapter — primary reference.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Co-authored the 2024 joint consensus; fully aligned.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ESE/ESPE: </w:t>
      </w:r>
      <w:r>
        <w:t xml:space="preserve">No dedicated guideline; EASD co-authored the 2024 joint consensus.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Endocrine Society: </w:t>
      </w:r>
      <w:r>
        <w:t xml:space="preserve">No separate DKA-specific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 DKA-specific guideline; relevant only where DKA coexists with heart failure.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No DKA-specific guideline, but relevant for AKI monitoring, which occurs in roughly half of treated cases.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adult DKA guideline; UK practice follows JBDS.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 — JBDS: </w:t>
      </w:r>
      <w:r>
        <w:t xml:space="preserve">2021/2023 revision recommends fixed-rate insulin 0.05–0.1 units/kg/hr rather than a flat 0.1, to reduce hypoglycemia/hypokalemia seen in UK audits.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Guideline gap: the 2024 joint consensus and JBDS have not fully converged on a single insulin starting rate — Mansoura needs a house standard.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Fluids: </w:t>
      </w:r>
      <w:r>
        <w:t xml:space="preserve">Isotonic 0.9% NaCl per the table below — fully available, guideline-standard steps apply directly.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Insulin: </w:t>
      </w:r>
      <w:r>
        <w:t xml:space="preserve">Regular insulin IV infusion per the table below. No bolus in adults. No local constraint.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Ketone monitoring: </w:t>
      </w:r>
      <w:r>
        <w:t xml:space="preserve">Point-of-care blood beta-hydroxybutyrate available bedside — a genuine local strength.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Fluid type — open question: </w:t>
      </w:r>
      <w:r>
        <w:t xml:space="preserve">Balanced crystalloids may resolve DKA faster than 0.9% saline per recent evidence, not yet firm cross-society recommendation.</w:t>
      </w:r>
    </w:p>
    <w:p>
      <w:pPr>
        <w:spacing w:after="80" w:before="120"/>
      </w:pPr>
      <w:r>
        <w:rPr>
          <w:b/>
          <w:bCs/>
        </w:rPr>
        <w:t xml:space="preserve">Hour-by-hour titration: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50"/>
        <w:gridCol w:w="2600"/>
        <w:gridCol w:w="2600"/>
        <w:gridCol w:w="2600"/>
      </w:tblGrid>
      <w:tr>
        <w:trPr>
          <w:tblHeader/>
        </w:trPr>
        <w:tc>
          <w:tcPr>
            <w:tcW w:type="dxa" w:w="1550"/>
            <w:shd w:fill="1F386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Time / Trigger</w:t>
            </w:r>
          </w:p>
        </w:tc>
        <w:tc>
          <w:tcPr>
            <w:tcW w:type="dxa" w:w="2600"/>
            <w:shd w:fill="1F386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Fluids</w:t>
            </w:r>
          </w:p>
        </w:tc>
        <w:tc>
          <w:tcPr>
            <w:tcW w:type="dxa" w:w="2600"/>
            <w:shd w:fill="1F386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Insulin</w:t>
            </w:r>
          </w:p>
        </w:tc>
        <w:tc>
          <w:tcPr>
            <w:tcW w:type="dxa" w:w="2600"/>
            <w:shd w:fill="1F386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Potassium</w:t>
            </w:r>
          </w:p>
        </w:tc>
      </w:tr>
      <w:tr>
        <w:tc>
          <w:tcPr>
            <w:tcW w:type="dxa" w:w="15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Hour 0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0.9% NaCl 15–20 mL/kg/hr (or 1 L/hr if severe hypovolemia) for first hour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Do NOT start insulin until K+ result is back and fluids running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Check serum K+ before any insulin is given</w:t>
            </w:r>
          </w:p>
        </w:tc>
      </w:tr>
      <w:tr>
        <w:tc>
          <w:tcPr>
            <w:tcW w:type="dxa" w:w="15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Hour 1 onward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Reassess corrected Na+: switch to 0.45% NaCl if normal/high; continue 0.9% NaCl if low. Target: replace 50% of estimated deficit over first 8–12 h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If K+ ≥3.3 mEq/L: start regular insulin 0.1 units/kg/hr IV infusion (no bolus). If K+ &lt;3.3 mEq/L: HOLD insulin, replace potassium first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K+ 3.3–5.3 mEq/L: add 20–30 mEq KCl per liter of fluid. K+ &gt;5.3 mEq/L: no KCl, recheck in 2 h</w:t>
            </w:r>
          </w:p>
        </w:tc>
      </w:tr>
      <w:tr>
        <w:tc>
          <w:tcPr>
            <w:tcW w:type="dxa" w:w="15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Glucose &lt;250 mg/dL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Add 5–10% dextrose to fluids to allow continued insulin infusion without hypoglycemia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Reduce insulin to 0.05 units/kg/hr; keep infusion running until resolution criteria are met — do not stop insulin on glucose alone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Continue monitoring K+ every 4 hours until stable</w:t>
            </w:r>
          </w:p>
        </w:tc>
      </w:tr>
      <w:tr>
        <w:tc>
          <w:tcPr>
            <w:tcW w:type="dxa" w:w="15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Resolution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Continue maintenance fluids; reassess for ongoing losses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Glucose &lt;200 mg/dL AND bicarbonate ≥18 mEq/L AND venous pH &gt;7.3 → begin transition to SC insulin, overlap IV/SC by 1–2 h before stopping infusion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Confirm K+ normalized before discontinuing monitoring</w:t>
            </w:r>
          </w:p>
        </w:tc>
      </w:tr>
    </w:tbl>
    <w:p>
      <w:pPr>
        <w:spacing w:after="100" w:before="200"/>
      </w:pP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Bicarbonate: </w:t>
      </w:r>
      <w:r>
        <w:t xml:space="preserve">Reserved for pH &lt;6.9 only — not routine.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 admission mandatory: </w:t>
      </w:r>
      <w:r>
        <w:t xml:space="preserve">Severe DKA (pH &lt;7.0, bicarbonate &lt;10, altered mental status, or hemodynamic instability).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For every DKA admission — always reachable — with urgency for first presentation, recurrent DKA, or euglycemic SGLT2i-associated cases.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Involve nephrology: </w:t>
      </w:r>
      <w:r>
        <w:t xml:space="preserve">If AKI fails to resolve with hydration, or pre-existing CKD/dialysis dependence.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Involve cardiology: </w:t>
      </w:r>
      <w:r>
        <w:t xml:space="preserve">Where fluid overload risk requires a slower resuscitation rate.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Ongoing severe acidosis: </w:t>
      </w:r>
      <w:r>
        <w:t xml:space="preserve">pH &lt;7.0 or bicarbonate &lt;10 mEq/L at any point during treatment.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Poor biochemical response: </w:t>
      </w:r>
      <w:r>
        <w:t xml:space="preserve">Glucose not falling ≥50–70 mg/dL/hr after the first hour of correct insulin infusion.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Dangerous potassium: </w:t>
      </w:r>
      <w:r>
        <w:t xml:space="preserve">K+ &lt;3.3 or &gt;6.0 mEq/L on any check.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Neurological change: </w:t>
      </w:r>
      <w:r>
        <w:t xml:space="preserve">New headache, confusion, or declining consciousness — earliest cerebral edema sign.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Hemodynamic instability: </w:t>
      </w:r>
      <w:r>
        <w:t xml:space="preserve">Not responding to standard fluid resuscitation.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Diagnostic uncertainty: </w:t>
      </w:r>
      <w:r>
        <w:t xml:space="preserve">First presentation, pregnancy, unclear precipitant, or atypical picture.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Insulin starting rate not fully harmonized across societies.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Balanced crystalloid vs. 0.9% saline: emerging evidence, not yet firm.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No RCT-based consensus on optimal potassium replacement regimen.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Adults only — cerebral edema risk highest in children/young T1D, separate protocol needed if pediatric cases are admitted.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2. Hyperosmolar Hyperglycemic State (HHS)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Core features: </w:t>
      </w:r>
      <w:r>
        <w:t xml:space="preserve">Marked hyperglycemia and hyperosmolality with profound hypovolemia WITHOUT significant ketonemia or acidosis — the key distinction from DKA. Mixed DKA/HHS should be managed with the more urgent protocol.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Glucose threshold — societies differ: </w:t>
      </w:r>
      <w:r>
        <w:t xml:space="preserve">ADA/Diabetes Canada: glucose ≥600 mg/dL (33.3 mmol/L). JBDS: ≥540 mg/dL (30 mmol/L). Both require osmolality ≥320 mOsm/kg.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Absence of ketoacidosis: </w:t>
      </w:r>
      <w:r>
        <w:t xml:space="preserve">Blood ketones ≤3.0 mmol/L, venous pH &gt;7.3, bicarbonate ≥15 mEq/L — use POC blood ketones to distinguish from DKA/mixed presentations.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Calculated osmolality: </w:t>
      </w:r>
      <w:r>
        <w:t xml:space="preserve">(2 × Na+) + glucose (mmol/L) + urea (mmol/L); Mansoura has stat serum osmolality directly available as a cross-check.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2024 joint consensus plus ADA/Diabetes Canada osmolality-correction target of &lt;3 mOsm/kg/hr — primary US reference.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Co-authored the 2024 joint consensus.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ESE/ESPE: </w:t>
      </w:r>
      <w:r>
        <w:t xml:space="preserve">No dedicated guideline; defers to the EASD-co-authored consensus.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Endocrine Society: </w:t>
      </w:r>
      <w:r>
        <w:t xml:space="preserve">No separate HHS-specific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 dedicated guideline, but relevant: HHS carries elevated vascular complication risk (MI, stroke, peripheral arterial thrombosis) — baseline ECG and vascular screen warranted.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Relevant for AKI monitoring, as with DKA.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guideline; UK practice follows JBDS.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 — JBDS 2023 update: </w:t>
      </w:r>
      <w:r>
        <w:t xml:space="preserve">Glucose ≥540 mg/dL, osmolality ≥320. Accepts a more permissive correction of 3–8 mOsm/kg/hr (vs. ADA's &lt;3). Insulin is only started once osmolality stops falling with fluids ALONE, unless significant ketonemia is also present.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Guideline gap: ADA/DC and JBDS disagree on both diagnostic glucose cutoff and osmolality correction target — needs a house standard.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Fluids first, insulin second — the critical distinction from DKA: </w:t>
      </w:r>
      <w:r>
        <w:t xml:space="preserve">0.9% NaCl alone initially; insulin deliberately WITHHELD until osmolality stops falling with fluids alone, unless significant ketonemia is also present. Starting insulin too early causes rapid osmotic shifts and raises cerebral edema risk.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Total fluid deficit: </w:t>
      </w:r>
      <w:r>
        <w:t xml:space="preserve">Estimated 100–220 mL/kg — replace ~50% within the first 12 hours, remainder over the following 12–24 hours, with caution in elderly/cardiac/renal patients.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Insulin once started: </w:t>
      </w:r>
      <w:r>
        <w:t xml:space="preserve">Fixed-rate 0.05 units/kg/hr IV infusion (lower than the DKA starting rate).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Glucose infusion: </w:t>
      </w:r>
      <w:r>
        <w:t xml:space="preserve">Start 5–10% dextrose once glucose &lt;250 mg/dL (14 mmol/L), continuing insulin.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Potassium: </w:t>
      </w:r>
      <w:r>
        <w:t xml:space="preserve">Replace per the same thresholds as DKA — no local constraint.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Resolution criteria: </w:t>
      </w:r>
      <w:r>
        <w:t xml:space="preserve">Osmolality &lt;300 mOsm/kg, urine output ≥0.5 mL/kg/hr, cognitive status at baseline, glucose &lt;270 mg/dL (15 mmol/L).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 admission mandatory: </w:t>
      </w:r>
      <w:r>
        <w:t xml:space="preserve">Every HHS case — mortality higher than DKA.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For every admission, with urgency for first presentation of T2D in a younger patient.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Involve cardiology: </w:t>
      </w:r>
      <w:r>
        <w:t xml:space="preserve">For any chest pain, ECG change, or focal neurological sign.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Involve nephrology: </w:t>
      </w:r>
      <w:r>
        <w:t xml:space="preserve">For AKI not resolving with hydration.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Osmolality correcting too fast or too slow: </w:t>
      </w:r>
      <w:r>
        <w:t xml:space="preserve">Outside the agreed house target rate.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Sodium correction concern: </w:t>
      </w:r>
      <w:r>
        <w:t xml:space="preserve">Trajectory not matching expected pattern.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Neurological deterioration: </w:t>
      </w:r>
      <w:r>
        <w:t xml:space="preserve">Any decline beyond presenting baseline.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Suspected vascular event: </w:t>
      </w:r>
      <w:r>
        <w:t xml:space="preserve">New chest pain, focal weakness, or other stroke/MI signs.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Potassium abnormality: </w:t>
      </w:r>
      <w:r>
        <w:t xml:space="preserve">K+ &lt;3.3 or &gt;6.0 mEq/L.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Diagnostic glucose threshold and correction-rate target both vary by society — unresolved divergence.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Evidence base is entirely consensus-based, not RCT-based, by the societies' own acknowledgment.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3. Severe Hypoglycemia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 three-level classification: </w:t>
      </w:r>
      <w:r>
        <w:t xml:space="preserve">Level 1 ≤70 mg/dL. Level 2 ≤54 mg/dL. Level 3 (severe) — defined by cognitive impairment requiring external assistance, with NO specific glucose cutoff.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Why Level 3 has no number: </w:t>
      </w:r>
      <w:r>
        <w:t xml:space="preserve">The clinical state defines severity — treat the presentation, don't wait for lab confirmation if glucometer and clinical picture agree.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Standards of Care, Section 6 — primary reference for definitions and acute treatment.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No independent guideline; aligned with ADA.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ESE/ESPE: </w:t>
      </w:r>
      <w:r>
        <w:t xml:space="preserve">No dedicated acute-hypoglycemia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Endocrine Society: </w:t>
      </w:r>
      <w:r>
        <w:t xml:space="preserve">Has a hypoglycemic-disorders guideline oriented toward diagnostic work-up of the underlying cause, not acute treatment.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 dedicated guideline, but relevant: hypoglycemia can trigger arrhythmias in cardiac patients.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General diabetes guidance aligned with the same rule-of-15 approach; no standalone document.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societies: </w:t>
      </w:r>
      <w:r>
        <w:t xml:space="preserve">None additional beyond the above.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Conscious, able to swallow: </w:t>
      </w:r>
      <w:r>
        <w:t xml:space="preserve">15–20 g fast-acting oral carbohydrate. Recheck at 15 minutes; repeat if still &lt;70 mg/dL ("rule of 15"). Follow with a complex-carbohydrate snack.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Unconscious/NPO, IV access available: </w:t>
      </w:r>
      <w:r>
        <w:t xml:space="preserve">IV dextrose 25 g (50 mL of 50% dextrose, or equivalent 25% dextrose). Recheck glucose at 15 minutes.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Unconscious, no IV access: </w:t>
      </w:r>
      <w:r>
        <w:t xml:space="preserve">Glucagon 1 mg IM or SC while IV access is obtained.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Glucagon (IM/SC) availability on formulary for use when IV access is not immediately achievable.]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Sulfonylurea-induced hypoglycemia — a real local pattern: </w:t>
      </w:r>
      <w:r>
        <w:t xml:space="preserve">Can be prolonged and recurrent; requires minimum 24-hour observation, not a single treat-and-discharge episode.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Refractory sulfonylurea-induced hypoglycemia: </w:t>
      </w:r>
      <w:r>
        <w:t xml:space="preserve">Octreotide 50 mcg SC every 6 hours suppresses insulin secretion — IV octreotide is already confirmed available on formulary, a genuine local strength here.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ICU/HDU admission: </w:t>
      </w:r>
      <w:r>
        <w:t xml:space="preserve">Recurrent or refractory hypoglycemia, sulfonylurea/insulin overdose requiring extended monitoring, or cardiac/neurological complication.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For any severe (Level 3) episode, and any sulfonylurea-related episode.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Glucose not rising after treatment: </w:t>
      </w:r>
      <w:r>
        <w:t xml:space="preserve">Failure to respond to standard oral or IV dextrose.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Recurrent hypoglycemia: </w:t>
      </w:r>
      <w:r>
        <w:t xml:space="preserve">A second episode within a few hours, especially after sulfonylurea exposure.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Seizure: </w:t>
      </w:r>
      <w:r>
        <w:t xml:space="preserve">At any point during the episode.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Persistent altered consciousness: </w:t>
      </w:r>
      <w:r>
        <w:t xml:space="preserve">After glucose confirmed normalized — search for another cause.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Hemodynamic instability: </w:t>
      </w:r>
      <w:r>
        <w:t xml:space="preserve">Any accompanying cardiovascular compromise.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No major society has a dedicated ACUTE severe-hypoglycemia guideline distinct from general diabetes-care standards.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4. Thyroid Storm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Nature of diagnosis: </w:t>
      </w:r>
      <w:r>
        <w:t xml:space="preserve">Clinical, not purely biochemical — biochemical thyrotoxicosis must be accompanied by multi-system decompensation.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Burch-Wartofsky Point Scale (BWPS): </w:t>
      </w:r>
      <w:r>
        <w:t xml:space="preserve">Scored across thermoregulatory, CNS, GI-hepatic, and cardiovascular dysfunction plus precipitant history. ≥45 highly suggestive, 25–44 impending storm, &lt;25 unlikely.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Japan Thyroid Association (JTA) criteria — alternative: </w:t>
      </w:r>
      <w:r>
        <w:t xml:space="preserve">Qualitative, no lab cutoff needed. Mansoura has stat TSH/free T4 available out of hours, so BWPS can be applied without delay.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Precipitants to actively seek: </w:t>
      </w:r>
      <w:r>
        <w:t xml:space="preserve">Infection, surgery, parturition, iodinated contrast, abrupt antithyroid drug withdrawal, or concurrent DKA.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Primary reference: 2016 ATA Guidelines for Diagnosis and Management of Hyperthyroidism remain current. No full replacement published as of this build — verify with a fresh search at time of use.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No independent guideline; defers to ATA for the emergency setting.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ESE/ESPE: </w:t>
      </w:r>
      <w:r>
        <w:t xml:space="preserve">No dedicated guideline; follows the same core principles as ATA.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Endocrine Society: </w:t>
      </w:r>
      <w:r>
        <w:t xml:space="preserve">No standalone guideline distinct from ATA.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 thyroid-storm-specific guideline, but directly relevant for the arrhythmia and heart-failure management this condition commonly requires.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guideline; defers to ATA-aligned protocols for the emergency setting.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 — JTA (Japan): </w:t>
      </w:r>
      <w:r>
        <w:t xml:space="preserve">2016 guideline differs mainly in qualitative diagnostic criteria, broadly concordant on management.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Guideline gap: the ATA 2016 document is approaching a decade old with no full replacement — several management details rest on case-series evidence.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Step 1 — Beta-blockade: </w:t>
      </w:r>
      <w:r>
        <w:t xml:space="preserve">Propranolol preferred (blocks T4-to-T3 conversion at higher doses). IV 0.5–1 mg over 10 min, then 1–2 mg IV q15min PRN, or oral/NG 60–80 mg q4h if stable.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Step 2 — Thionamide: </w:t>
      </w:r>
      <w:r>
        <w:t xml:space="preserve">Give within the first hour, before iodine. PTU load 500–1000 mg PO/NG then 250 mg q4h, or carbimazole/methimazole 60–80 mg/day if PTU unsuitable — both on formulary.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Step 3 — Iodine: </w:t>
      </w:r>
      <w:r>
        <w:t xml:space="preserve">Give at least 1 hour AFTER the thionamide dose. SSKI 5 drops (~250 mg) q6h.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Step 4 — Glucocorticoid: </w:t>
      </w:r>
      <w:r>
        <w:t xml:space="preserve">Hydrocortisone 100 mg IV q8h — blocks T4-to-T3 conversion and covers possible adrenal insufficiency. Available, no constraint.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Step 5 — Supportive care: </w:t>
      </w:r>
      <w:r>
        <w:t xml:space="preserve">Active cooling (paracetamol, not aspirin), IV fluids/dextrose, treat the precipitant directly.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Refractory storm: </w:t>
      </w:r>
      <w:r>
        <w:t xml:space="preserve">Cholestyramine or therapeutic plasma exchange (class 2C recommendation only) if no improvement in 24–48 hours — joint endocrine + ICU decision.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Local vasopressor first- vs. second-line agent — relevant if shock or high-output failure develops.]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 admission mandatory: </w:t>
      </w:r>
      <w:r>
        <w:t xml:space="preserve">Any confirmed thyroid storm (BWPS ≥45).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Immediately on suspicion, even before BWPS is finalized.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Involve cardiology: </w:t>
      </w:r>
      <w:r>
        <w:t xml:space="preserve">For new atrial fibrillation, high-output failure, or hemodynamic instability.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Involve surgery: </w:t>
      </w:r>
      <w:r>
        <w:t xml:space="preserve">If precipitated by recent/planned thyroid surgery.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Score meets or approaches threshold: </w:t>
      </w:r>
      <w:r>
        <w:t xml:space="preserve">BWPS ≥45, or strong clinical suspicion even before the score is finalized.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New arrhythmia: </w:t>
      </w:r>
      <w:r>
        <w:t xml:space="preserve">New-onset atrial fibrillation or any other new arrhythmia.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Uncontrolled hyperthermia: </w:t>
      </w:r>
      <w:r>
        <w:t xml:space="preserve">Temperature still rising despite active cooling and therapy.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Mental status change: </w:t>
      </w:r>
      <w:r>
        <w:t xml:space="preserve">New agitation, psychosis, delirium, or declining consciousness.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Hemodynamic instability: </w:t>
      </w:r>
      <w:r>
        <w:t xml:space="preserve">High-output failure, shock, or vasopressor need.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Suspected overlap syndrome: </w:t>
      </w:r>
      <w:r>
        <w:t xml:space="preserve">Concurrent adrenal crisis or DKA.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ATA 2016 is the most recent full document; several details rest on case-series evidence rather than a large-scale update.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No cross-society consensus on exact vasopressor choice in thyroid-storm-associated shock.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Overlap with adrenal crisis — cross-reference Section 6.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5. Myxedema Coma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Clinical picture: </w:t>
      </w:r>
      <w:r>
        <w:t xml:space="preserve">Severe decompensated hypothyroidism: hypothermia, altered mental status, bradycardia, hypoventilation, often hyponatremia and hypoglycemia. Most patients are not literally comatose.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No universally adopted score: </w:t>
      </w:r>
      <w:r>
        <w:t xml:space="preserve">Unlike BWPS for thyroid storm, diagnosis remains clinical, supported by biochemical confirmation of hypothyroidism.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Precipitants to actively seek: </w:t>
      </w:r>
      <w:r>
        <w:t xml:space="preserve">Infection (the most common trigger, and can be hard to detect in a hypothermic patient), cold exposure, sedatives/opioids, MI, stroke, or abrupt discontinuation of thyroid replacement.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Primary reference: Recommendation 21 of the 2014 ATA Guidelines for Treatment of Hypothyroidism, graded strong recommendation but low-quality evidence, reflecting the rarity of the condition.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No independent guideline; defers to ATA.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ESE/ESPE: </w:t>
      </w:r>
      <w:r>
        <w:t xml:space="preserve">No dedicated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Endocrine Society: </w:t>
      </w:r>
      <w:r>
        <w:t xml:space="preserve">No separate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 myxedema-specific guidance, but relevant for bradycardia/hypotension management principles.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societies: </w:t>
      </w:r>
      <w:r>
        <w:t xml:space="preserve">None additional — this entire condition's evidence base is case reports and small series, not trials.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Guideline gap: whether to add liothyronine (T3) rests on low-quality evidence by the guideline's own grading.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Sequencing rule — glucocorticoid before or with thyroid hormone, never after: </w:t>
      </w:r>
      <w:r>
        <w:t xml:space="preserve">Thyroid hormone accelerates cortisol metabolism and can precipitate adrenal crisis in a patient with coexisting secondary AI. Draw a random cortisol first if time allows, but never wait for the result.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Hydrocortisone: </w:t>
      </w:r>
      <w:r>
        <w:t xml:space="preserve">100 mg IV bolus, then 100 mg IV q8h (200–400 mg/day) until adrenal insufficiency excluded — available, no constraint.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IV levothyroxine availability on formulary. This is the single most consequential local gap for this condition: the guideline step is a 200–400 mcg IV loading dose. If unavailable, the documented Mansoura-appropriate workaround is oral/NG levothyroxine at the same loading dose, accepting reduced (not eliminated) gastric absorption — a real but inferior fallback, not an equivalent substitute.]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IV liothyronine (T3) availability. Given the guideline's own weak/low-quality grading for adding T3, a levothyroxine-only strategy is a reasonable default if T3 is unavailable.]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Supportive care: </w:t>
      </w:r>
      <w:r>
        <w:t xml:space="preserve">Passive rewarming only — active rewarming risks vasodilation and cardiovascular collapse. Correct hypoglycemia immediately. Mechanical ventilation if GCS ≤8.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Hyponatremia: </w:t>
      </w:r>
      <w:r>
        <w:t xml:space="preserve">Common — correct cautiously, cross-reference Section 10 for overcorrection limits.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Treat the precipitant: </w:t>
      </w:r>
      <w:r>
        <w:t xml:space="preserve">Empiric broad-spectrum antibiotics reasonable while infection is worked up, since fever may be blunted in a hypothermic patient.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 admission mandatory: </w:t>
      </w:r>
      <w:r>
        <w:t xml:space="preserve">Every suspected case — highest mortality in this protocol (20–40% even with treatment).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Immediately on suspicion.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Any suspected case at all: </w:t>
      </w:r>
      <w:r>
        <w:t xml:space="preserve">Rarity + high mortality + a time-critical sequencing rule together warrant an immediate senior call, not staged escalation.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Persistent hypothermia: </w:t>
      </w:r>
      <w:r>
        <w:t xml:space="preserve">Despite passive rewarming.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Hypotension unresponsive to fluids: </w:t>
      </w:r>
      <w:r>
        <w:t xml:space="preserve">Even after hydrocortisone given.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Worsening consciousness: </w:t>
      </w:r>
      <w:r>
        <w:t xml:space="preserve">At any point.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New arrhythmia: </w:t>
      </w:r>
      <w:r>
        <w:t xml:space="preserve">Particularly bradyarrhythmias.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Entire management approach rests on case reports and low-quality evidence — no RCTs exist.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IV thyroid hormone availability fundamentally changes achievable guideline adherence and needs urgent confirmation.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6. Adrenal Crisis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Clinical presentation: </w:t>
      </w:r>
      <w:r>
        <w:t xml:space="preserve">Hypotension/shock, nausea/vomiting, abdominal pain, fever, hypoglycemia, and — in primary AI — hyponatremia with hyperkalemia, in a patient with known/suspected AI exposed to a stressor, or de novo.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Biochemical confirmation: </w:t>
      </w:r>
      <w:r>
        <w:t xml:space="preserve">Random cortisol &lt;3 mcg/dL strongly supports the diagnosis; ≥18 mcg/dL is normal. Never delay treatment for this result.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No independent guideline; defers to Endocrine Society.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 and Endocrine Society: </w:t>
      </w:r>
      <w:r>
        <w:t xml:space="preserve">Two current co-existing guidelines apply by etiology: the 2016 Endocrine Society Primary AI guideline (100 mg IV/IM hydrocortisone then 200 mg/24h) covers crisis of any cause; the 2024 joint ESE/Endocrine Society Glucocorticoid-Induced AI guideline extends the same dosing to steroid-induced cases specifically — a dual-source structure, not a gap.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 dedicated guideline; standard shock/fluid-resuscitation principles apply.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guideline; UK practice follows Society for Endocrinology guidance.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 — Society for Endocrinology (UK), 2020: </w:t>
      </w:r>
      <w:r>
        <w:t xml:space="preserve">100 mg hydrocortisone IV/IM immediately then 200 mg/24h (or 50 mg IV/IM q6h), plus 1000 mL isotonic saline in the first hour, then 4–6 L over 24 hours with caution in renal impairment/elderly.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Hydrocortisone: </w:t>
      </w:r>
      <w:r>
        <w:t xml:space="preserve">100 mg IV/IM bolus immediately, then 200 mg/24h continuous infusion (or 50 mg IV/IM q6h) — available, guideline-standard step directly.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Fluids: </w:t>
      </w:r>
      <w:r>
        <w:t xml:space="preserve">1000 mL 0.9% saline in the first hour, then 4–6 L over 24 hours with overload caution — available, no constraint.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THE defining local constraint for this condition: </w:t>
      </w:r>
      <w:r>
        <w:t xml:space="preserve">Stat cortisol/ACTH NOT available overnight or weekends at Mansoura — treat on clinical suspicion alone outside working hours, send the sample when possible, never delay hydrocortisone.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Fludrocortisone availability — needed once a primary-AI patient stabilizes and requires mineralocorticoid replacement (not needed in secondary AI).]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ICU/HDU admission: </w:t>
      </w:r>
      <w:r>
        <w:t xml:space="preserve">For hemodynamic instability requiring close monitoring or vasopressor support.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Immediately on suspicion — never contingent on cortisol results.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Any suspected adrenal crisis: </w:t>
      </w:r>
      <w:r>
        <w:t xml:space="preserve">Call immediately — never wait for cortisol, especially overnight/weekends when it isn't available anyway.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Persistent hypotension: </w:t>
      </w:r>
      <w:r>
        <w:t xml:space="preserve">Despite fluids and hydrocortisone already given.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Refractory hypoglycemia: </w:t>
      </w:r>
      <w:r>
        <w:t xml:space="preserve">Not correcting with standard treatment.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Hyperkalemia with ECG changes: </w:t>
      </w:r>
      <w:r>
        <w:t xml:space="preserve">Peaked T waves, widened QRS, or other conduction change.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Unexplained shock in a new patient: </w:t>
      </w:r>
      <w:r>
        <w:t xml:space="preserve">Consider occult adrenal crisis in any shock of unclear source without a prior AI diagnosis.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None significant beyond the local lab-availability gap already tracked in the standing constraints file — international guidance is otherwise well-converged.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7. Hypercalcemic Crisis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Severity threshold: </w:t>
      </w:r>
      <w:r>
        <w:t xml:space="preserve">Corrected total calcium &gt;14 mg/dL (3.5 mmol/L) per the 2023 Endocrine Society HCM guideline's definition of severe. Correct for albumin, or use ionized calcium directly.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Clinical picture: </w:t>
      </w:r>
      <w:r>
        <w:t xml:space="preserve">Altered mental status to coma, severe dehydration, AKI, cardiac arrhythmia (classically shortened QT), abdominal pain or pancreatitis.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No independent guideline; no major divergence from Endocrine Society.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ESE/ESPE: </w:t>
      </w:r>
      <w:r>
        <w:t xml:space="preserve">No dedicated crisis guideline; broader primary hyperparathyroidism guidance covers surgical indications, not acute crisis.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Endocrine Society: </w:t>
      </w:r>
      <w:r>
        <w:t xml:space="preserve">Primary reference: 2023 hypercalcemia-of-malignancy (HCM) guideline. Caveat: built on malignancy-specific evidence and extrapolated to non-malignant causes like parathyroid crisis.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 dedicated guideline, but directly relevant for arrhythmia/short-QT monitoring.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Relevant given how commonly AKI accompanies severe hypercalcemia; dialysis with low-calcium dialysate is the rescue option when other measures fail.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societies: </w:t>
      </w:r>
      <w:r>
        <w:t xml:space="preserve">None additional prominent.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Guideline gap: the evidence base is built for hypercalcemia OF MALIGNANCY specifically — extrapolation to parathyroid-crisis is standard practice but not directly guideline-validated.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IV isotonic saline: </w:t>
      </w:r>
      <w:r>
        <w:t xml:space="preserve">First-line, 200–300 mL/hr initially, titrated to urine output, caution in cardiac/renal impairment — available, guideline-standard directly.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Loop diuretics (furosemide): </w:t>
      </w:r>
      <w:r>
        <w:t xml:space="preserve">Only AFTER adequate rehydration, for fluid overload management, not as a primary calciuresis strategy — available, no constraint.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Calcitonin: </w:t>
      </w:r>
      <w:r>
        <w:t xml:space="preserve">Rapid but short-lived (tachyphylaxis by 48–72h) — bridge while a slower antiresorptive takes effect.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Calcitonin availability on formulary.]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IV bisphosphonate (zoledronic acid preferred) and/or denosumab availability. Likely the single biggest resource gap anywhere in this protocol — neither first-line antiresorptive beyond saline/furosemide has been confirmed stocked. Worth flagging as a priority formulary review item.]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If neither is available and calcium remains severe/refractory with renal impairment: </w:t>
      </w:r>
      <w:r>
        <w:t xml:space="preserve">Hemodialysis with low-calcium dialysate is the guideline-endorsed rescue — involve nephrology early.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Glucocorticoids: </w:t>
      </w:r>
      <w:r>
        <w:t xml:space="preserve">Reserved for vitamin D intoxication, granulomatous disease, or select hematologic malignancies — not first-line for parathyroid-driven hypercalcemia. Hydrocortisone available.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ICU/HDU admission: </w:t>
      </w:r>
      <w:r>
        <w:t xml:space="preserve">Severe (&gt;14 mg/dL) or symptomatic with altered mental status or arrhythmia.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For every hypercalcemic crisis.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Involve nephrology early: </w:t>
      </w:r>
      <w:r>
        <w:t xml:space="preserve">Given AKI risk and possible dialysis need if antiresorptives unavailable.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Cardiac arrhythmia or short QT: </w:t>
      </w:r>
      <w:r>
        <w:t xml:space="preserve">On ECG at any point.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Declining consciousness: </w:t>
      </w:r>
      <w:r>
        <w:t xml:space="preserve">Any drop in GCS from presentation baseline.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Calcium not falling despite hydration and calcitonin: </w:t>
      </w:r>
      <w:r>
        <w:t xml:space="preserve">Must be flagged if no bisphosphonate/denosumab is actually on board or planned.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Worsening AKI: </w:t>
      </w:r>
      <w:r>
        <w:t xml:space="preserve">Despite adequate hydration.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Suspected parathyroid crisis: </w:t>
      </w:r>
      <w:r>
        <w:t xml:space="preserve">Needing urgent surgical referral once stabilized.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Primary evidence base is hypercalcemia OF MALIGNANCY, extrapolated to other etiologies by common practice.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Bisphosphonate, denosumab, and calcitonin availability all unconfirmed locally — potentially the largest single resource gap in the whole protocol.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8. Severe Hypocalcemia / Tetany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Symptoms: </w:t>
      </w:r>
      <w:r>
        <w:t xml:space="preserve">Perioral paresthesia, carpopedal spasm, Chvostek's/Trousseau's signs, laryngospasm (immediate life threat), seizures, prolonged QT with arrhythmia risk.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Biochemical threshold: </w:t>
      </w:r>
      <w:r>
        <w:t xml:space="preserve">Adjusted total calcium &lt;7.5 mg/dL (1.9 mmol/L) or low ionized calcium, correlating with symptoms — rate of fall matters more than absolute value.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Relevant specifically for post-thyroidectomy hypocalcemia (surgical hypoparathyroidism) — directly relevant given Mansoura's thyroid surgery volume.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No independent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ESE/ESPE: </w:t>
      </w:r>
      <w:r>
        <w:t xml:space="preserve">A 2015 European chronic hypoparathyroidism guideline exists but addresses long-term, not acute crisis, management.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Endocrine Society: </w:t>
      </w:r>
      <w:r>
        <w:t xml:space="preserve">No dedicated acute-hypocalcemia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 dedicated guideline, but directly relevant for QT-prolongation/arrhythmia monitoring.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Relevant background given hypocalcemia is common in CKD.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societies: </w:t>
      </w:r>
      <w:r>
        <w:t xml:space="preserve">UK regional/trust-level guidance reflects common practice in the absence of one authoritative international emergency document.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Guideline gap: no single major society publishes a dedicated ACUTE severe-hypocalcemia/tetany emergency guideline.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IV calcium gluconate 10%: </w:t>
      </w:r>
      <w:r>
        <w:t xml:space="preserve">1–2 g (10–20 mL of 10% solution, diluted in D5W) IV over 10 minutes, repeated every 10–60 minutes until symptoms resolve — available, guideline-standard directly.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Continuous infusion after the bolus: </w:t>
      </w:r>
      <w:r>
        <w:t xml:space="preserve">0.5–2 mg/kg/hr elemental calcium, recheck calcium every 4–6 hours.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Cardiac monitoring mandatory during the bolus: </w:t>
      </w:r>
      <w:r>
        <w:t xml:space="preserve">Rapid IV calcium carries arrhythmia risk.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IV magnesium sulfate availability. Correcting magnesium alongside calcium is not optional — hypomagnesemia both causes and perpetuates hypocalcemia, and calcium replacement will not hold if magnesium remains low.]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Post-thyroidectomy note: </w:t>
      </w:r>
      <w:r>
        <w:t xml:space="preserve">Early postoperative hypocalcemia is common and usually transient. Routine calcium check at 24 hours post-thyroidectomy is reasonable practice.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ICU/HDU admission: </w:t>
      </w:r>
      <w:r>
        <w:t xml:space="preserve">Laryngospasm, seizure, arrhythmia, or calcium refractory to the initial bolus.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For every severe symptomatic case.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Airway compromise or stridor: </w:t>
      </w:r>
      <w:r>
        <w:t xml:space="preserve">Laryngospasm is the immediate life threat — treat as an airway emergency.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New seizure: </w:t>
      </w:r>
      <w:r>
        <w:t xml:space="preserve">At any point.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QT prolongation or arrhythmia: </w:t>
      </w:r>
      <w:r>
        <w:t xml:space="preserve">On cardiac monitoring.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Calcium not responding to the first bolus: </w:t>
      </w:r>
      <w:r>
        <w:t xml:space="preserve">Check magnesium before repeating calcium.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Post-thyroidectomy patient worsening: </w:t>
      </w:r>
      <w:r>
        <w:t xml:space="preserve">Any escalating symptoms in the early postoperative window.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No single converged international emergency guideline exists — practice drawn from regional protocols and pharmacology references.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9. Pheochromocytoma Crisis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Clinical picture: </w:t>
      </w:r>
      <w:r>
        <w:t xml:space="preserve">Acute catecholamine excess: severe often paroxysmal hypertension (may alternate with hypotension), tachycardia/arrhythmia, headache, diaphoresis, pallor, hyperglycemia.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Common triggers: </w:t>
      </w:r>
      <w:r>
        <w:t xml:space="preserve">Anesthesia induction, abdominal palpation/biopsy of an unrecognized tumor, certain drugs (metoclopramide, or beta-blocker without prior alpha-blockade), or tumor hemorrhage/necrosis.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A joint AACE/ACE PPGL guideline exists but is oriented toward diagnosis and elective perioperative management.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ESE/ESPE: </w:t>
      </w:r>
      <w:r>
        <w:t xml:space="preserve">European PPGL consensus covers diagnosis/elective management; acute-crisis guidance is thin.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Endocrine Society: </w:t>
      </w:r>
      <w:r>
        <w:t xml:space="preserve">2014 guideline focuses on elective pre-operative alpha-blockade over 10–14 days, not acute crisis management.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 dedicated guideline, but general hypertensive-emergency principles apply.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societies: </w:t>
      </w:r>
      <w:r>
        <w:t xml:space="preserve">None additional beyond the above.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Genuine guideline gap: NO major society publishes a dedicated ACUTE crisis-management guideline. Every reference is written for elective preparation and applied to the emergency setting by extrapolation.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Absolute sequencing rule: </w:t>
      </w:r>
      <w:r>
        <w:t xml:space="preserve">NEVER give a beta-blocker before adequate alpha-blockade — unopposed alpha-mediated vasoconstriction can precipitate pulmonary edema or a worsening crisis.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Acute pharmacologic control: </w:t>
      </w:r>
      <w:r>
        <w:t xml:space="preserve">Phentolamine 1–5 mg IV bolus, repeated q5–10min PRN, OR IV nitroprusside infusion, OR IV urapidil where available. Oral phenoxybenzamine/doxazosin are too slow-onset for acute crisis.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Phentolamine, IV urapidil, and IV nitroprusside availability. None of the three fast-acting agents needed for genuine acute control has been confirmed stocked — a significant and urgent gap given how rapidly this condition can be fatal without IV-titratable alpha-blockade.]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Volume status: </w:t>
      </w:r>
      <w:r>
        <w:t xml:space="preserve">Chronic vasoconstriction leaves these patients volume-depleted; fluid resuscitation should follow, not precede, the start of alpha-blockade.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Post-crisis hypotension: </w:t>
      </w:r>
      <w:r>
        <w:t xml:space="preserve">May need a vasopressor once alpha-blockade takes effect or the tumor is removed.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Vasopressor first- vs. second-line agent for post-crisis hypotension — the same open item already flagged under Thyroid Storm.]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 admission mandatory: </w:t>
      </w:r>
      <w:r>
        <w:t xml:space="preserve">Every suspected or confirmed crisis.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Immediately on suspicion.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Involve anesthesiology/surgery early: </w:t>
      </w:r>
      <w:r>
        <w:t xml:space="preserve">If resection is being considered once pharmacologically stabilized.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Hypertensive emergency signs: </w:t>
      </w:r>
      <w:r>
        <w:t xml:space="preserve">SBP &gt;200 mmHg, chest pain, new focal neuro deficit, or pulmonary edema.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New arrhythmia: </w:t>
      </w:r>
      <w:r>
        <w:t xml:space="preserve">At any point.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Beta-blocker given before alpha-blockade confirmed adequate: </w:t>
      </w:r>
      <w:r>
        <w:t xml:space="preserve">Near-miss or actual — must be flagged and reviewed immediately.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Suspected tumor rupture or hemorrhage: </w:t>
      </w:r>
      <w:r>
        <w:t xml:space="preserve">Severe abdominal pain with hemodynamic instability.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No major society has published a dedicated acute-crisis management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Fast-acting IV alpha-blockade agent availability is unconfirmed and genuinely urgent given how rapidly this condition can be fatal.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10. SIADH (Severe / Symptomatic Hyponatremia)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Hyponatremia severity: </w:t>
      </w:r>
      <w:r>
        <w:t xml:space="preserve">Serum Na &lt;135 mmol/L; profound if &lt;125. Severe SYMPTOMS — vomiting, cardiorespiratory distress, deep somnolence, seizures, coma (GCS ≤8) — define the emergency, independent of the exact number.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SIADH-specific diagnostic pattern: </w:t>
      </w:r>
      <w:r>
        <w:t xml:space="preserve">Euvolemic, urine osmolality inappropriately elevated relative to plasma, urine sodium typically &gt;30 mmol/L, normal renal/adrenal/thyroid function. Adrenal insufficiency and hypothyroidism must be actively excluded — both covered elsewhere in this protocol.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No independent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ESE/ESPE: </w:t>
      </w:r>
      <w:r>
        <w:t xml:space="preserve">Primary reference: a newly updated joint ESICM/ESE/ERBP hyponatremia guideline has just been released, superseding the 2014 document. Because this is extremely recent relative to this build, verify with a fresh search before relying on any specific numeric detail at time of actual use.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Endocrine Society: </w:t>
      </w:r>
      <w:r>
        <w:t xml:space="preserve">No separate US guideline; a widely-cited 2013 US/Irish expert panel runs in parallel, broadly concordant on hypertonic-saline boluses, more favorable to vaptans as second-line than European guidance.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 dedicated guideline, but relevant for cardiorespiratory monitoring during severe symptoms.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Directly relevant — European Renal Association/ERBP co-authored the new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 — Society for Endocrinology (UK), 2022: </w:t>
      </w:r>
      <w:r>
        <w:t xml:space="preserve">Generally concordant with the European bolus approach.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Guideline gap, distinct from a local resource gap: European and US guidance diverge on second-line chronic therapy — Europe favors fluid restriction then urea, US literature more open to vaptans.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Severe symptoms — regardless of acute or chronic onset: </w:t>
      </w:r>
      <w:r>
        <w:t xml:space="preserve">150 mL bolus of 3% hypertonic saline IV over 20 minutes, repeated up to two more times if severe symptoms persist, checking sodium after each bolus. Aim for +5 mmol/L or symptom resolution, whichever first.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3% hypertonic saline availability and preparation method. This is a compounded solution and may not be routinely stocked ready-to-use — confirm the pharmacy can produce or maintain it, since the entire severe-symptom protocol depends on it.]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Correction limits: </w:t>
      </w:r>
      <w:r>
        <w:t xml:space="preserve">Do not exceed 10 mmol/L rise in the first 24 hours, or 8 mmol/L in any subsequent 24-hour period — overcorrection risks osmotic demyelination syndrome, particularly in chronic hyponatremia, malnutrition, alcohol use, or hypokalemia.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If correction trends too fast or overshoots: </w:t>
      </w:r>
      <w:r>
        <w:t xml:space="preserve">Re-lower sodium deliberately with desmopressin (DDAVP) plus free water (5% dextrose) — the DDAVP formulation gap already logged in the standing constraints file matters most right here.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Once severe symptoms resolve: </w:t>
      </w:r>
      <w:r>
        <w:t xml:space="preserve">Transition to chronic SIADH management: fluid restriction (500 mL–1 L/day) first-line, second-line agents (urea, or tolvaptan where available) if restriction fails.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Urea powder or tolvaptan availability for second-line chronic SIADH management — lower urgency, applies after the emergency resolves.]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ICU/HDU admission: </w:t>
      </w:r>
      <w:r>
        <w:t xml:space="preserve">Any severe symptoms — seizure, coma, or cardiorespiratory distress.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Immediately for severe symptomatic cases, and for the fluid-restriction/second-line transition.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Seizure or GCS ≤8: </w:t>
      </w:r>
      <w:r>
        <w:t xml:space="preserve">At presentation or at any point during treatment.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Sodium correcting faster than 10 mmol/L in 24 hours: </w:t>
      </w:r>
      <w:r>
        <w:t xml:space="preserve">Stop hypertonic saline immediately and consider DDAVP + D5W rescue.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Sodium not rising despite three boluses: </w:t>
      </w:r>
      <w:r>
        <w:t xml:space="preserve">Reassess the diagnosis and whether adrenal insufficiency/hypothyroidism has been adequately excluded.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New neurological deficit days into treatment: </w:t>
      </w:r>
      <w:r>
        <w:t xml:space="preserve">Delayed-onset pattern characteristic of osmotic demyelination — needs urgent reassessment.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The ESE/ESICM/ERBP guideline update is very recent — verify details with a fresh search before relying on exact thresholds.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US/European divergence on second-line chronic therapy.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3% hypertonic saline availability unconfirmed — the acute-phase gap that matters most here.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11. Diabetes Insipidus (Central, Acute Presentation)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Clinical picture: </w:t>
      </w:r>
      <w:r>
        <w:t xml:space="preserve">Polyuria typically well over 3 L/day with inappropriately dilute urine (osmolality usually &lt;300 mOsm/kg, often &lt;200) relative to rising/normal serum osmolality. Hypernatremia develops if free water intake cannot keep pace.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Definitive testing deferred acutely: </w:t>
      </w:r>
      <w:r>
        <w:t xml:space="preserve">Water deprivation testing and copeptin-based diagnosis are NOT acute-phase tools — defer until stabilized, particularly postoperatively where a transient pattern is expected.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No independent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ESE/ESPE: </w:t>
      </w:r>
      <w:r>
        <w:t xml:space="preserve">No dedicated acute-DI guideline; general posterior pituitary principles drawn from broader hypopituitarism literature.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Endocrine Society: </w:t>
      </w:r>
      <w:r>
        <w:t xml:space="preserve">DI is touched on within the Hormone Replacement in Hypopituitarism guideline framework, but there is no dedicated acute/postoperative DI guideline — genuinely thin coverage.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Not disease-specific, but its free-water/electrolyte framework is a reasonable adjunct reference.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societies: </w:t>
      </w:r>
      <w:r>
        <w:t xml:space="preserve">Postoperative/neurosurgical DI management is drawn mainly from case-series evidence and expert consensus (including the triphasic response pattern), not a single society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Arguably the most significant guideline gap flagged anywhere in this protocol: NO major society has published a dedicated ACUTE or postoperative DI management guideline.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Free water replacement is the immediate priority: </w:t>
      </w:r>
      <w:r>
        <w:t xml:space="preserve">If alert, encourage oral free water matched to urine output. If NPO/altered consciousness, IV D5W matched to ongoing losses plus deficit, correcting hypernatremia no faster than ~0.5 mmol/L/hour — the same overcorrection caution as hyponatremia, in reverse.</w:t>
      </w:r>
    </w:p>
    <w:p>
      <w:pPr>
        <w:shd w:fill="FFF2CC" w:val="clear"/>
        <w:spacing w:after="100"/>
      </w:pPr>
      <w:r>
        <w:rPr>
          <w:b/>
          <w:bCs/>
          <w:color w:val="7F5A00"/>
        </w:rPr>
        <w:t xml:space="preserve">[NEEDS INPUT: DDAVP (desmopressin) formulation on formulary — the same open item logged in the standing constraints file, restated here because this is the condition where it matters most acutely. If only intranasal/oral is available, this is genuinely less reliable in an acute/altered-consciousness setting — communicate this limitation to the treating team.]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Postoperative/neurosurgical DI — the triphasic response pattern: </w:t>
      </w:r>
      <w:r>
        <w:t xml:space="preserve">An initial DI phase may be followed by a temporary antidiuretic phase (risk of iatrogenic hyponatremia if DDAVP dosing isn't reassessed daily), then possibly a permanent DI phase. Do not continue a fixed DDAVP dose through this window without daily reassessment.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HDU/ICU admission: </w:t>
      </w:r>
      <w:r>
        <w:t xml:space="preserve">Hemodynamically significant hypernatremia, altered consciousness, or inability to keep pace with free water losses orally.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For any new acute DI presentation, and for guidance through the postoperative triphasic window.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Very high sustained urine output: </w:t>
      </w:r>
      <w:r>
        <w:t xml:space="preserve">Persistently above roughly 300–500 mL/hr without a correction plan actively in place.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Rising sodium despite replacement efforts: </w:t>
      </w:r>
      <w:r>
        <w:t xml:space="preserve">Free water replacement not keeping pace with losses.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Any postoperative neurosurgical patient with new polyuria: </w:t>
      </w:r>
      <w:r>
        <w:t xml:space="preserve">Never dismiss as routine postoperative diuresis without checking urine osmolality.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Sudden drop in urine output after starting DDAVP postoperatively: </w:t>
      </w:r>
      <w:r>
        <w:t xml:space="preserve">Can signal the antidiuretic phase — risk of hyponatremia if free water intake isn't restricted.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No major society has a dedicated acute/postoperative DI management guideline — this entire section is built from case-series evidence and expert consensus.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DDAVP formulation availability is unconfirmed and is the single most consequential local gap for this condition.</w:t>
      </w:r>
    </w:p>
    <w:p>
      <w:pPr>
        <w:pStyle w:val="Heading1"/>
        <w:pBdr>
          <w:bottom w:val="single" w:color="1F3864" w:sz="12" w:space="4"/>
        </w:pBdr>
        <w:spacing w:after="200" w:before="400"/>
      </w:pPr>
      <w:r>
        <w:rPr>
          <w:b/>
          <w:bCs/>
          <w:color w:val="1F3864"/>
          <w:sz w:val="30"/>
          <w:szCs w:val="30"/>
        </w:rPr>
        <w:t xml:space="preserve">12. Panhypopituitarism Crisis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Definition and Diagnostic Criteria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Clinical picture: </w:t>
      </w:r>
      <w:r>
        <w:t xml:space="preserve">Acute combined anterior (and sometimes posterior) pituitary hormone deficiency, where secondary adrenal insufficiency (potentially fatal) occurs together with severe hypothyroidism that can present in a myxedema-coma-like fashion.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Common acute triggers: </w:t>
      </w:r>
      <w:r>
        <w:t xml:space="preserve">Pituitary apoplexy (hemorrhage/infarction into a tumor — sudden severe headache, visual field defect, ophthalmoplegia, altered consciousness), Sheehan syndrome (postpartum pituitary infarction after major obstetric hemorrhage), or other structural/infiltrative disease.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Hyponatremia is common: </w:t>
      </w:r>
      <w:r>
        <w:t xml:space="preserve">From combined cortisol deficiency and sometimes central hypothyroidism — cross-reference Section 10.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Belt Walk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ADA: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ATA: </w:t>
      </w:r>
      <w:r>
        <w:t xml:space="preserve">Relevant only for the central-hypothyroidism component: dosing guided by free T4, NOT TSH, which is unreliable in central hypothyroidism.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AACE: </w:t>
      </w:r>
      <w:r>
        <w:t xml:space="preserve">No independent crisis-specific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ESE/ESPE and Endocrine Society: </w:t>
      </w:r>
      <w:r>
        <w:t xml:space="preserve">The 2016 Endocrine Society Hormone Replacement in Hypopituitarism guideline is primary for sequencing/dosing. Pituitary apoplexy has separate, still-referenced UK Society for Endocrinology guidance (2011) recommending urgent hydrocortisone plus neurosurgical/ophthalmology involvement for visual compromise.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AHA: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KDIGO: </w:t>
      </w:r>
      <w:r>
        <w:t xml:space="preserve">Not applicable — expected silence.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NICE: </w:t>
      </w:r>
      <w:r>
        <w:t xml:space="preserve">No standalone guideline.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Other major societies — Society for Endocrinology apoplexy guidance: </w:t>
      </w:r>
      <w:r>
        <w:t xml:space="preserve">Directly relevant given apoplexy is a leading acute cause; recommends urgent hydrocortisone regardless of whether surgery is ultimately needed.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Minor guideline gap: sources vary on exactly how long to wait after hydrocortisone before starting levothyroxine — a genuine area of practice variability worth a house decision.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Mansoura-Adjusted Management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Absolute sequencing rule — the single most important step here: </w:t>
      </w:r>
      <w:r>
        <w:t xml:space="preserve">Hydrocortisone MUST be given before or simultaneously with levothyroxine, never after. Starting thyroid hormone first can precipitate a fulminant adrenal crisis in a patient with undiagnosed secondary AI — described in the literature as absolute and non-negotiable, the same category of danger as the iodine-timing rule in thyroid storm and the alpha-before-beta rule in pheochromocytoma crisis.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Hydrocortisone: </w:t>
      </w:r>
      <w:r>
        <w:t xml:space="preserve">100 mg IV bolus, then 50 mg IV q6h (stress dosing) — available, no constraint.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Levothyroxine: </w:t>
      </w:r>
      <w:r>
        <w:t xml:space="preserve">Start only once hydrocortisone is on board; dose by body weight targeting free T4 mid-to-upper normal. Do NOT titrate against TSH — unreliable in central hypothyroidism.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If pituitary apoplexy is suspected: </w:t>
      </w:r>
      <w:r>
        <w:t xml:space="preserve">Sudden headache plus visual symptoms plus this hormonal picture warrants urgent pituitary MRI, urgent ophthalmology review, and urgent neurosurgical consultation. Surgery is indicated for significant/progressive visual compromise or declining consciousness; otherwise conservative hormone-first management is often appropriate — a joint senior + neurosurgery decision, not a fixed protocol step.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Diabetes insipidus may coexist: </w:t>
      </w:r>
      <w:r>
        <w:t xml:space="preserve">Particularly post-apoplexy/post-surgery — check urine output/osmolality; cross-reference Section 11.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Hyponatremia frequently coexists: </w:t>
      </w:r>
      <w:r>
        <w:t xml:space="preserve">Cross-reference Section 10. Correcting adrenal insufficiency first often improves the hyponatremia directly.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Escalation / Triage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ICU/HDU admission mandatory: </w:t>
      </w:r>
      <w:r>
        <w:t xml:space="preserve">Every case.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Call endocrine on-call: </w:t>
      </w:r>
      <w:r>
        <w:t xml:space="preserve">Immediately on suspicion, given the sequencing rule and mortality risk of getting it wrong.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Involve neurosurgery and ophthalmology urgently: </w:t>
      </w:r>
      <w:r>
        <w:t xml:space="preserve">For any suspicion of apoplexy with visual symptoms.</w:t>
      </w:r>
    </w:p>
    <w:p>
      <w:pPr>
        <w:shd w:fill="FCE4E4" w:val="clear"/>
        <w:spacing w:after="100" w:before="160"/>
      </w:pPr>
      <w:r>
        <w:rPr>
          <w:b/>
          <w:bCs/>
          <w:color w:val="7F1D1D"/>
          <w:sz w:val="22"/>
          <w:szCs w:val="22"/>
        </w:rPr>
        <w:t xml:space="preserve">RED FLAGS — Junior Staff Must Call Senior On-Call Immediately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Sudden severe headache with visual change: </w:t>
      </w:r>
      <w:r>
        <w:t xml:space="preserve">Suspected apoplexy — urgent imaging, ophthalmology, neurosurgery.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Any hypotension or shock: </w:t>
      </w:r>
      <w:r>
        <w:t xml:space="preserve">Treat empirically as adrenal crisis — do not wait for confirmatory results.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Hypoglycemia: </w:t>
      </w:r>
      <w:r>
        <w:t xml:space="preserve">At any point.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Hyponatremia not improving after hydrocortisone: </w:t>
      </w:r>
      <w:r>
        <w:t xml:space="preserve">May indicate an additional cause or inadequate steroid dosing.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b/>
          <w:bCs/>
        </w:rPr>
        <w:t xml:space="preserve">Declining consciousness or new visual field deficit: </w:t>
      </w:r>
      <w:r>
        <w:t xml:space="preserve">Surgical urgency — call neurosurgery directly.</w:t>
      </w:r>
    </w:p>
    <w:p>
      <w:pPr>
        <w:pStyle w:val="Heading2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Guideline Gaps — For Discussion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Minor variability in timing between hydrocortisone and levothyroxine initiation — worth a house decision.</w:t>
      </w:r>
    </w:p>
    <w:p>
      <w:pPr>
        <w:pStyle w:val="ListParagraph"/>
        <w:numPr>
          <w:ilvl w:val="0"/>
          <w:numId w:val="1"/>
        </w:numPr>
        <w:spacing w:after="100"/>
        <w:ind w:left="360"/>
      </w:pPr>
      <w:r>
        <w:rPr>
          <w:i/>
          <w:iCs/>
          <w:color w:val="7F1D1D"/>
        </w:rPr>
        <w:t xml:space="preserve">This condition draws on three separate guideline sources rather than one unified document — worth being explicit about with trainees.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2026-07-20T17:08:25.881Z</dcterms:created>
  <dcterms:modified xsi:type="dcterms:W3CDTF">2026-07-20T17:08:25.893Z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